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5" w:type="dxa"/>
        <w:tblInd w:w="-445" w:type="dxa"/>
        <w:tblLayout w:type="fixed"/>
        <w:tblCellMar>
          <w:left w:w="0" w:type="dxa"/>
        </w:tblCellMar>
        <w:tblLook w:val="0000"/>
      </w:tblPr>
      <w:tblGrid>
        <w:gridCol w:w="812"/>
        <w:gridCol w:w="1906"/>
        <w:gridCol w:w="2051"/>
        <w:gridCol w:w="217"/>
        <w:gridCol w:w="954"/>
        <w:gridCol w:w="1583"/>
        <w:gridCol w:w="1550"/>
        <w:gridCol w:w="942"/>
      </w:tblGrid>
      <w:tr w:rsidR="00665D0A" w:rsidRPr="00AA4230" w:rsidTr="00935F10">
        <w:trPr>
          <w:trHeight w:val="875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S.No</w:t>
            </w:r>
          </w:p>
        </w:tc>
        <w:tc>
          <w:tcPr>
            <w:tcW w:w="1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Faculty name &amp;</w:t>
            </w:r>
          </w:p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Designation</w:t>
            </w: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Name of the</w:t>
            </w:r>
          </w:p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Journal</w:t>
            </w: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ParaAttribute39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Category</w:t>
            </w:r>
          </w:p>
          <w:p w:rsidR="00665D0A" w:rsidRPr="00AA4230" w:rsidRDefault="00665D0A" w:rsidP="00665D0A">
            <w:pPr>
              <w:pStyle w:val="ParaAttribute39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I / II / III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Authorship</w:t>
            </w:r>
          </w:p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(1</w:t>
            </w:r>
            <w:r w:rsidRPr="00AA4230">
              <w:rPr>
                <w:rStyle w:val="CharAttribute13"/>
                <w:rFonts w:eastAsia="Batang"/>
                <w:b/>
              </w:rPr>
              <w:t>st</w:t>
            </w:r>
            <w:r w:rsidRPr="00AA4230">
              <w:rPr>
                <w:rStyle w:val="CharAttribute7"/>
                <w:rFonts w:eastAsia="Batang"/>
                <w:b/>
              </w:rPr>
              <w:t>/2</w:t>
            </w:r>
            <w:r w:rsidRPr="00AA4230">
              <w:rPr>
                <w:rStyle w:val="CharAttribute13"/>
                <w:rFonts w:eastAsia="Batang"/>
                <w:b/>
              </w:rPr>
              <w:t>nd</w:t>
            </w:r>
            <w:r w:rsidRPr="00AA4230">
              <w:rPr>
                <w:rStyle w:val="CharAttribute7"/>
                <w:rFonts w:eastAsia="Batang"/>
                <w:b/>
              </w:rPr>
              <w:t>/3</w:t>
            </w:r>
            <w:r w:rsidRPr="00AA4230">
              <w:rPr>
                <w:rStyle w:val="CharAttribute13"/>
                <w:rFonts w:eastAsia="Batang"/>
                <w:b/>
              </w:rPr>
              <w:t>rd</w:t>
            </w:r>
            <w:r w:rsidRPr="00AA4230">
              <w:rPr>
                <w:rStyle w:val="CharAttribute7"/>
                <w:rFonts w:eastAsia="Batang"/>
                <w:b/>
              </w:rPr>
              <w:t xml:space="preserve"> etc.)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Year of</w:t>
            </w:r>
          </w:p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  <w:rPr>
                <w:rStyle w:val="CharAttribute7"/>
                <w:rFonts w:eastAsia="Batang"/>
                <w:b/>
              </w:rPr>
            </w:pPr>
            <w:r w:rsidRPr="00AA4230">
              <w:rPr>
                <w:rStyle w:val="CharAttribute7"/>
                <w:rFonts w:eastAsia="Batang"/>
                <w:b/>
              </w:rPr>
              <w:t>Publication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ParaAttribute28"/>
              <w:numPr>
                <w:ilvl w:val="0"/>
                <w:numId w:val="6"/>
              </w:numPr>
              <w:suppressAutoHyphens/>
              <w:spacing w:after="0"/>
            </w:pPr>
            <w:r w:rsidRPr="00AA4230">
              <w:rPr>
                <w:rStyle w:val="CharAttribute7"/>
                <w:rFonts w:eastAsia="Batang"/>
                <w:b/>
              </w:rPr>
              <w:t>Points</w:t>
            </w:r>
          </w:p>
        </w:tc>
      </w:tr>
      <w:tr w:rsidR="00665D0A" w:rsidRPr="00AA4230" w:rsidTr="00935F10">
        <w:trPr>
          <w:trHeight w:val="710"/>
        </w:trPr>
        <w:tc>
          <w:tcPr>
            <w:tcW w:w="81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1</w:t>
            </w:r>
          </w:p>
        </w:tc>
        <w:tc>
          <w:tcPr>
            <w:tcW w:w="190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935F10">
            <w:pPr>
              <w:rPr>
                <w:rFonts w:ascii="Times New Roman"/>
                <w:b/>
                <w:bCs/>
              </w:rPr>
            </w:pPr>
            <w:r w:rsidRPr="00AA4230">
              <w:rPr>
                <w:rFonts w:ascii="Times New Roman"/>
                <w:b/>
                <w:bCs/>
              </w:rPr>
              <w:t>Dr.S.Chidambaram, M.D.S.</w:t>
            </w:r>
          </w:p>
          <w:p w:rsidR="00665D0A" w:rsidRPr="00AA4230" w:rsidRDefault="00665D0A" w:rsidP="00935F10">
            <w:pPr>
              <w:rPr>
                <w:rFonts w:ascii="Times New Roman"/>
                <w:b/>
                <w:bCs/>
              </w:rPr>
            </w:pPr>
            <w:r w:rsidRPr="00AA4230">
              <w:rPr>
                <w:rFonts w:ascii="Times New Roman"/>
                <w:b/>
                <w:bCs/>
              </w:rPr>
              <w:t>Professor and Head of the department</w:t>
            </w: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 w:eastAsia="Times New Roman"/>
                <w:bCs/>
              </w:rPr>
              <w:t>Journal of Pharmacy and  Bioallied Sciences</w:t>
            </w: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>Pulikkottil VJ, Chidambaram S, Bejoy PU, Femin PK, Paul P, Rishad M.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 xml:space="preserve"> Corrosion resistance of stainless steel, nickel-titanium, titanium molybdenum alloy, and ion-implanted titanium molybdenum alloy archwires in acidic fluoride-containing artificial saliva: An </w:t>
            </w:r>
            <w:r w:rsidRPr="00AA4230">
              <w:rPr>
                <w:rFonts w:ascii="Times New Roman"/>
                <w:iCs/>
                <w:color w:val="000000"/>
                <w:shd w:val="clear" w:color="auto" w:fill="FFFFFF"/>
              </w:rPr>
              <w:t>in vitro</w:t>
            </w:r>
            <w:r w:rsidRPr="00AA4230">
              <w:rPr>
                <w:rFonts w:ascii="Times New Roman"/>
                <w:color w:val="000000"/>
                <w:shd w:val="clear" w:color="auto" w:fill="FFFFFF"/>
              </w:rPr>
              <w:t> study. 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/>
                <w:iCs/>
                <w:color w:val="000000"/>
                <w:shd w:val="clear" w:color="auto" w:fill="FFFFFF"/>
              </w:rPr>
              <w:t>J Pharm Bioallied Sci</w:t>
            </w:r>
            <w:r w:rsidRPr="00AA4230">
              <w:rPr>
                <w:rFonts w:ascii="Times New Roman"/>
                <w:color w:val="000000"/>
                <w:shd w:val="clear" w:color="auto" w:fill="FFFFFF"/>
              </w:rPr>
              <w:t>. 2016;8(Suppl 1):S96-S99. doi:10.4103/0975-7406.192032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adjustRightInd w:val="0"/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Ist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2016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Journal of clinical and diagnostic research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 xml:space="preserve">Ali, S. A., Manoharan, P. S., Shekhawat, K. S., Deb, S., Chidambaram, S., Konchada, J., Venugopal, N., &amp;Vadivel, H. (2015). 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>Influence of Full Veneer Restoration on Fracture Resistance of Three Different Core Materials: An Invitro Study. 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  <w:iCs/>
                <w:color w:val="000000"/>
                <w:shd w:val="clear" w:color="auto" w:fill="FFFFFF"/>
              </w:rPr>
              <w:t>Journal of clinical and diagnostic research : JCDR</w:t>
            </w:r>
            <w:r w:rsidRPr="00AA4230">
              <w:rPr>
                <w:rFonts w:ascii="Times New Roman"/>
                <w:color w:val="000000"/>
                <w:shd w:val="clear" w:color="auto" w:fill="FFFFFF"/>
              </w:rPr>
              <w:t>, </w:t>
            </w:r>
            <w:r w:rsidRPr="00AA4230">
              <w:rPr>
                <w:rFonts w:ascii="Times New Roman"/>
                <w:iCs/>
                <w:color w:val="000000"/>
                <w:shd w:val="clear" w:color="auto" w:fill="FFFFFF"/>
              </w:rPr>
              <w:t>9</w:t>
            </w:r>
            <w:r w:rsidRPr="00AA4230">
              <w:rPr>
                <w:rFonts w:ascii="Times New Roman"/>
                <w:color w:val="000000"/>
                <w:shd w:val="clear" w:color="auto" w:fill="FFFFFF"/>
              </w:rPr>
              <w:t>(9), ZC12–ZC15. https://doi.org/10.7860/JCDR/2015/12891.6440</w:t>
            </w: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adjustRightInd w:val="0"/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5</w:t>
            </w:r>
            <w:r w:rsidRPr="00AA4230">
              <w:rPr>
                <w:rFonts w:ascii="Times New Roman"/>
                <w:bCs/>
                <w:vertAlign w:val="superscript"/>
              </w:rPr>
              <w:t>th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2015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Journal Of International oral health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 xml:space="preserve">Venkataramana V, </w:t>
            </w:r>
            <w:r w:rsidRPr="00AA4230">
              <w:rPr>
                <w:rFonts w:ascii="Times New Roman"/>
                <w:color w:val="000000"/>
                <w:shd w:val="clear" w:color="auto" w:fill="FFFFFF"/>
              </w:rPr>
              <w:lastRenderedPageBreak/>
              <w:t>Chidambaram S, Reddy BV, Goud EV, ArafathM, Krishnan6 S.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 xml:space="preserve"> Impact of Bisphosphonate on Orthodontic tooth movement and osteoclastic count: An Animal Study.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> </w:t>
            </w:r>
            <w:r w:rsidRPr="00AA4230">
              <w:rPr>
                <w:rFonts w:ascii="Times New Roman"/>
                <w:iCs/>
                <w:color w:val="000000"/>
                <w:shd w:val="clear" w:color="auto" w:fill="FFFFFF"/>
              </w:rPr>
              <w:t>J Int Oral Health</w:t>
            </w:r>
            <w:r w:rsidRPr="00AA4230">
              <w:rPr>
                <w:rFonts w:ascii="Times New Roman"/>
                <w:color w:val="000000"/>
                <w:shd w:val="clear" w:color="auto" w:fill="FFFFFF"/>
              </w:rPr>
              <w:t>. 2014;6(2):1-8.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adjustRightInd w:val="0"/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lastRenderedPageBreak/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2</w:t>
            </w:r>
            <w:r w:rsidRPr="00AA4230">
              <w:rPr>
                <w:rFonts w:ascii="Times New Roman"/>
                <w:bCs/>
                <w:vertAlign w:val="superscript"/>
              </w:rPr>
              <w:t>nd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2014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The Journal of Contemporary Dental practice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D Praveen Kumar Varma, S Chidambaram, K Baburam Reddy, M Vijay, D Ravindranath, M Rajendra Prasad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Comparison of Galvanic Corrosion Potential of Metal Injection Molded Brackets to that of Conventional Metal Brackets with Nickel-Titanium and Copper Nickel-Titanium Archwire Combinations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he Journal of Contemporary Dental Practice, May-June 2013;14(3):488-495</w:t>
            </w: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adjustRightInd w:val="0"/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I</w:t>
            </w:r>
          </w:p>
          <w:p w:rsidR="00665D0A" w:rsidRPr="00AA4230" w:rsidRDefault="00665D0A" w:rsidP="00935F10">
            <w:pPr>
              <w:adjustRightInd w:val="0"/>
              <w:jc w:val="center"/>
              <w:rPr>
                <w:rFonts w:ascii="Times New Roman"/>
                <w:bCs/>
              </w:rPr>
            </w:pP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2</w:t>
            </w:r>
            <w:r w:rsidRPr="00AA4230">
              <w:rPr>
                <w:rFonts w:ascii="Times New Roman"/>
                <w:bCs/>
                <w:vertAlign w:val="superscript"/>
              </w:rPr>
              <w:t>nd</w:t>
            </w:r>
          </w:p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2013</w:t>
            </w:r>
          </w:p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The Journal of Contemporary Dental practice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K Supradeep Kumar, C Hanumantha Rao, KV Baburam Reddy, S Chidambaram, HC Girish, Sanjay Murgod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Flowable Composite an Alternative Orthodontic Bonding Adhesive: An in vitro Study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 xml:space="preserve"> The Journal of </w:t>
            </w:r>
            <w:r w:rsidRPr="00AA4230">
              <w:rPr>
                <w:rFonts w:ascii="Times New Roman"/>
              </w:rPr>
              <w:lastRenderedPageBreak/>
              <w:t>Contemporary Dental Practice, September-October 2013;14(5):883-886</w:t>
            </w: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adjustRightInd w:val="0"/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lastRenderedPageBreak/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4</w:t>
            </w:r>
            <w:r w:rsidRPr="00AA4230">
              <w:rPr>
                <w:rFonts w:ascii="Times New Roman"/>
                <w:bCs/>
                <w:vertAlign w:val="superscript"/>
              </w:rPr>
              <w:t>th</w:t>
            </w:r>
          </w:p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2013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The Journal of Contemporary Dental practice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AfshanLaheji, S Sakharde, S Chidambaram, Rajashri R Gondhalekar, Uma Shankar, A Radhika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Adenoameloblastoma: A Dilemma in Diagnosis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The Journal of Contemporary Dental Practice, November-December 2012;13(6):925-929</w:t>
            </w: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adjustRightInd w:val="0"/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-3</w:t>
            </w:r>
            <w:r w:rsidRPr="00AA4230">
              <w:rPr>
                <w:rFonts w:ascii="Times New Roman"/>
                <w:bCs/>
                <w:vertAlign w:val="superscript"/>
              </w:rPr>
              <w:t>rd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2012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7.5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</w:p>
        </w:tc>
        <w:tc>
          <w:tcPr>
            <w:tcW w:w="1906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Textbook of Orthodontics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adjustRightInd w:val="0"/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III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Contributory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2011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5</w:t>
            </w:r>
          </w:p>
        </w:tc>
      </w:tr>
      <w:tr w:rsidR="00665D0A" w:rsidRPr="00AA4230" w:rsidTr="00935F10">
        <w:trPr>
          <w:trHeight w:val="360"/>
        </w:trPr>
        <w:tc>
          <w:tcPr>
            <w:tcW w:w="9073" w:type="dxa"/>
            <w:gridSpan w:val="7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</w:rPr>
              <w:t>Total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  <w:bCs/>
              </w:rPr>
            </w:pPr>
            <w:r w:rsidRPr="00AA4230">
              <w:rPr>
                <w:rFonts w:ascii="Times New Roman"/>
                <w:bCs/>
              </w:rPr>
              <w:t>87.5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2</w:t>
            </w:r>
          </w:p>
        </w:tc>
        <w:tc>
          <w:tcPr>
            <w:tcW w:w="1906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ind w:left="-2" w:firstLine="2"/>
              <w:rPr>
                <w:b/>
                <w:bCs/>
                <w:sz w:val="20"/>
              </w:rPr>
            </w:pPr>
            <w:r w:rsidRPr="00AA4230">
              <w:rPr>
                <w:b/>
                <w:bCs/>
                <w:sz w:val="20"/>
              </w:rPr>
              <w:t>Dr.S.D.Milling Tania., M.D.S.,Professor</w:t>
            </w: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 w:eastAsia="Times New Roman"/>
                <w:bCs/>
              </w:rPr>
              <w:t>Journal of Contemporary Orthodontics</w:t>
            </w: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Dr. Sunil Abraham , Dr. Milling Tania , Dr. Ashwin Mathew George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Obstructive Sleep Apnea: Diagnose the Sleep Trickster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March 2017 Vol-1 Issue - II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2</w:t>
            </w:r>
            <w:r w:rsidRPr="00AA4230">
              <w:rPr>
                <w:rFonts w:ascii="Times New Roman"/>
                <w:vertAlign w:val="superscript"/>
              </w:rPr>
              <w:t>nd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2017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7.5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</w:pPr>
          </w:p>
        </w:tc>
        <w:tc>
          <w:tcPr>
            <w:tcW w:w="1906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 w:eastAsia="Times New Roman"/>
                <w:bCs/>
              </w:rPr>
              <w:t>Journal of Pharmacy and  Bioallied Sciences</w:t>
            </w: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 xml:space="preserve">Milling Tania SD, Sathiasekar C, Anison JJ, Samyukta Reddy BV. 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 xml:space="preserve">The extended tentacles of laser - From diagnosis to treatment </w:t>
            </w:r>
            <w:r w:rsidRPr="00AA4230">
              <w:rPr>
                <w:rFonts w:ascii="Times New Roman"/>
                <w:color w:val="000000"/>
                <w:shd w:val="clear" w:color="auto" w:fill="FFFFFF"/>
              </w:rPr>
              <w:lastRenderedPageBreak/>
              <w:t>in orthodontics: An overview.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  <w:color w:val="000000"/>
                <w:shd w:val="clear" w:color="auto" w:fill="FFFFFF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/>
                <w:color w:val="000000"/>
                <w:shd w:val="clear" w:color="auto" w:fill="FFFFFF"/>
              </w:rPr>
              <w:t> </w:t>
            </w:r>
            <w:r w:rsidRPr="00AA4230">
              <w:rPr>
                <w:rFonts w:ascii="Times New Roman"/>
                <w:iCs/>
                <w:color w:val="000000"/>
                <w:shd w:val="clear" w:color="auto" w:fill="FFFFFF"/>
              </w:rPr>
              <w:t>J Pharm Bioallied Sci</w:t>
            </w:r>
            <w:r w:rsidRPr="00AA4230">
              <w:rPr>
                <w:rFonts w:ascii="Times New Roman"/>
                <w:color w:val="000000"/>
                <w:shd w:val="clear" w:color="auto" w:fill="FFFFFF"/>
              </w:rPr>
              <w:t>. 2015;7(Suppl 2):S387-S392. doi:10.4103/0975-7406.163462</w:t>
            </w: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lastRenderedPageBreak/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1</w:t>
            </w:r>
            <w:r w:rsidRPr="00AA4230">
              <w:rPr>
                <w:rFonts w:ascii="Times New Roman"/>
                <w:vertAlign w:val="superscript"/>
              </w:rPr>
              <w:t>st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2015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</w:pPr>
          </w:p>
        </w:tc>
        <w:tc>
          <w:tcPr>
            <w:tcW w:w="1906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 w:eastAsia="Times New Roman"/>
                <w:bCs/>
              </w:rPr>
              <w:t>Journal of Indian Orthodontic Society</w:t>
            </w: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Tania M, Vijayakumar RK, Jeyaraj JM.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 xml:space="preserve"> Upper Diagnostic Triangle. J IndOrthodSoc 2013;47(4):280-285</w:t>
            </w: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1</w:t>
            </w:r>
            <w:r w:rsidRPr="00AA4230">
              <w:rPr>
                <w:rFonts w:ascii="Times New Roman"/>
                <w:vertAlign w:val="superscript"/>
              </w:rPr>
              <w:t>st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2013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</w:pPr>
          </w:p>
        </w:tc>
        <w:tc>
          <w:tcPr>
            <w:tcW w:w="1906" w:type="dxa"/>
            <w:vMerge/>
            <w:tcBorders>
              <w:left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 w:eastAsia="Times New Roman"/>
                <w:bCs/>
              </w:rPr>
              <w:t>International Journal of Pharmacology and therapeutics</w:t>
            </w: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 w:eastAsia="Times New Roman"/>
                <w:bCs/>
              </w:rPr>
              <w:t>Milling Tania, Job Jacob anison</w:t>
            </w: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 w:eastAsia="Times New Roman"/>
                <w:bCs/>
              </w:rPr>
              <w:t>Bacteriotherapeutic approach of oral diseases – A review of literature</w:t>
            </w:r>
          </w:p>
          <w:p w:rsidR="00665D0A" w:rsidRPr="00AA4230" w:rsidRDefault="00665D0A" w:rsidP="00935F10">
            <w:pPr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 w:eastAsia="Times New Roman"/>
                <w:bCs/>
              </w:rPr>
              <w:t>Volume 4issue2 2014</w:t>
            </w: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II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1</w:t>
            </w:r>
            <w:r w:rsidRPr="00AA4230">
              <w:rPr>
                <w:rFonts w:ascii="Times New Roman"/>
                <w:vertAlign w:val="superscript"/>
              </w:rPr>
              <w:t>st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2014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10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</w:pPr>
          </w:p>
        </w:tc>
        <w:tc>
          <w:tcPr>
            <w:tcW w:w="1906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665D0A">
            <w:pPr>
              <w:pStyle w:val="Heading2"/>
              <w:numPr>
                <w:ilvl w:val="1"/>
                <w:numId w:val="5"/>
              </w:numPr>
              <w:suppressAutoHyphens/>
              <w:snapToGrid w:val="0"/>
              <w:rPr>
                <w:sz w:val="20"/>
              </w:rPr>
            </w:pP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</w:pPr>
            <w:r w:rsidRPr="00AA4230">
              <w:t xml:space="preserve">International  Journal of </w:t>
            </w:r>
          </w:p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</w:pPr>
            <w:r w:rsidRPr="00AA4230">
              <w:t>Orthodontic</w:t>
            </w:r>
          </w:p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</w:pPr>
            <w:r w:rsidRPr="00AA4230">
              <w:t xml:space="preserve"> rehabilitation</w:t>
            </w:r>
          </w:p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</w:pPr>
          </w:p>
          <w:p w:rsidR="00665D0A" w:rsidRPr="00AA4230" w:rsidRDefault="00665D0A" w:rsidP="00935F10">
            <w:pPr>
              <w:pStyle w:val="ParaAttribute12"/>
              <w:suppressAutoHyphens/>
              <w:snapToGrid w:val="0"/>
            </w:pPr>
            <w:r w:rsidRPr="00AA4230">
              <w:t>SD Milling Tania Ashwin Mathew George</w:t>
            </w:r>
          </w:p>
          <w:p w:rsidR="00665D0A" w:rsidRPr="00AA4230" w:rsidRDefault="00665D0A" w:rsidP="00935F10">
            <w:pPr>
              <w:pStyle w:val="ParaAttribute12"/>
              <w:suppressAutoHyphens/>
              <w:snapToGrid w:val="0"/>
            </w:pPr>
            <w:r w:rsidRPr="00AA4230">
              <w:t>Extending the envelope of regenerative medicine in orthodontics by stem cells</w:t>
            </w:r>
          </w:p>
          <w:p w:rsidR="00665D0A" w:rsidRPr="00AA4230" w:rsidRDefault="00665D0A" w:rsidP="00935F10">
            <w:pPr>
              <w:pStyle w:val="ParaAttribute12"/>
              <w:suppressAutoHyphens/>
              <w:snapToGrid w:val="0"/>
            </w:pPr>
          </w:p>
          <w:p w:rsidR="00665D0A" w:rsidRPr="00AA4230" w:rsidRDefault="00665D0A" w:rsidP="00935F10">
            <w:pPr>
              <w:pStyle w:val="ParaAttribute12"/>
              <w:suppressAutoHyphens/>
              <w:snapToGrid w:val="0"/>
            </w:pPr>
            <w:r w:rsidRPr="00AA4230">
              <w:t>Volume 10 / Issue 2 / April-June 2019</w:t>
            </w:r>
          </w:p>
          <w:p w:rsidR="00665D0A" w:rsidRPr="00AA4230" w:rsidRDefault="00665D0A" w:rsidP="00935F10">
            <w:pPr>
              <w:pStyle w:val="ParaAttribute12"/>
              <w:suppressAutoHyphens/>
              <w:snapToGrid w:val="0"/>
            </w:pP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1</w:t>
            </w:r>
            <w:r w:rsidRPr="00AA4230">
              <w:rPr>
                <w:vertAlign w:val="superscript"/>
              </w:rPr>
              <w:t>st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2019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9073" w:type="dxa"/>
            <w:gridSpan w:val="7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Total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62.5</w:t>
            </w:r>
          </w:p>
        </w:tc>
      </w:tr>
      <w:tr w:rsidR="00665D0A" w:rsidRPr="00AA4230" w:rsidTr="00935F10">
        <w:trPr>
          <w:trHeight w:val="360"/>
        </w:trPr>
        <w:tc>
          <w:tcPr>
            <w:tcW w:w="9073" w:type="dxa"/>
            <w:gridSpan w:val="7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Total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t>20</w:t>
            </w:r>
          </w:p>
        </w:tc>
      </w:tr>
      <w:tr w:rsidR="00180E54" w:rsidRPr="00AA4230" w:rsidTr="00935F10">
        <w:trPr>
          <w:trHeight w:val="360"/>
        </w:trPr>
        <w:tc>
          <w:tcPr>
            <w:tcW w:w="9073" w:type="dxa"/>
            <w:gridSpan w:val="7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tbl>
            <w:tblPr>
              <w:tblStyle w:val="TableGrid"/>
              <w:tblW w:w="31567" w:type="dxa"/>
              <w:tblLayout w:type="fixed"/>
              <w:tblLook w:val="04A0"/>
            </w:tblPr>
            <w:tblGrid>
              <w:gridCol w:w="867"/>
              <w:gridCol w:w="1842"/>
              <w:gridCol w:w="1985"/>
              <w:gridCol w:w="1276"/>
              <w:gridCol w:w="1559"/>
              <w:gridCol w:w="1961"/>
              <w:gridCol w:w="3154"/>
              <w:gridCol w:w="3154"/>
              <w:gridCol w:w="3154"/>
              <w:gridCol w:w="12615"/>
            </w:tblGrid>
            <w:tr w:rsidR="009B20BA" w:rsidTr="005D04EA">
              <w:tc>
                <w:tcPr>
                  <w:tcW w:w="867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t>3</w:t>
                  </w:r>
                </w:p>
              </w:tc>
              <w:tc>
                <w:tcPr>
                  <w:tcW w:w="1842" w:type="dxa"/>
                </w:tcPr>
                <w:p w:rsidR="009B20BA" w:rsidRDefault="009B20BA" w:rsidP="003E26AC">
                  <w:pPr>
                    <w:pStyle w:val="ParaAttribute12"/>
                    <w:suppressAutoHyphens/>
                    <w:snapToGrid w:val="0"/>
                  </w:pPr>
                  <w:r>
                    <w:t>Dr.SonaliRathore,MDS</w:t>
                  </w:r>
                </w:p>
                <w:p w:rsidR="009B20BA" w:rsidRDefault="009B20BA" w:rsidP="003E26AC">
                  <w:pPr>
                    <w:pStyle w:val="ParaAttribute12"/>
                    <w:suppressAutoHyphens/>
                    <w:snapToGrid w:val="0"/>
                  </w:pPr>
                  <w:r>
                    <w:t>READER</w:t>
                  </w:r>
                </w:p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1985" w:type="dxa"/>
                </w:tcPr>
                <w:p w:rsidR="009B20BA" w:rsidRDefault="009B20BA" w:rsidP="00474F09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</w:pPr>
                  <w:r>
                    <w:t>Journal of research and advancement in Dentistry</w:t>
                  </w:r>
                </w:p>
                <w:p w:rsidR="009B20BA" w:rsidRDefault="009B20BA" w:rsidP="00474F09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</w:pPr>
                  <w:r>
                    <w:t>NKS.Aravind, P.K.Chandra, SonaliRathore,Anirud</w:t>
                  </w:r>
                  <w:r>
                    <w:lastRenderedPageBreak/>
                    <w:t>h.k.Mathur</w:t>
                  </w:r>
                </w:p>
                <w:p w:rsidR="0007385B" w:rsidRDefault="0007385B" w:rsidP="0007385B">
                  <w:pPr>
                    <w:pStyle w:val="ParaAttribute12"/>
                    <w:suppressAutoHyphens/>
                    <w:snapToGrid w:val="0"/>
                  </w:pPr>
                  <w:r>
                    <w:t xml:space="preserve">Comparison of </w:t>
                  </w:r>
                  <w:r w:rsidR="000F75BF">
                    <w:t xml:space="preserve">Goans and Caucasians Soft tissue </w:t>
                  </w:r>
                  <w:r w:rsidR="000F13C2">
                    <w:t>Features based on Arnett’s S</w:t>
                  </w:r>
                  <w:r w:rsidR="00D56E11">
                    <w:t>TCA</w:t>
                  </w:r>
                </w:p>
                <w:p w:rsidR="00D56E11" w:rsidRDefault="00D56E11" w:rsidP="0007385B">
                  <w:pPr>
                    <w:pStyle w:val="ParaAttribute12"/>
                    <w:suppressAutoHyphens/>
                    <w:snapToGrid w:val="0"/>
                  </w:pPr>
                </w:p>
                <w:p w:rsidR="002251CC" w:rsidRDefault="002251CC" w:rsidP="0007385B">
                  <w:pPr>
                    <w:pStyle w:val="ParaAttribute12"/>
                    <w:suppressAutoHyphens/>
                    <w:snapToGrid w:val="0"/>
                  </w:pPr>
                  <w:r>
                    <w:t>J Res Adv</w:t>
                  </w:r>
                  <w:r w:rsidR="00711230">
                    <w:t>Dent 2018</w:t>
                  </w:r>
                </w:p>
                <w:p w:rsidR="00711230" w:rsidRDefault="00711230" w:rsidP="0007385B">
                  <w:pPr>
                    <w:pStyle w:val="ParaAttribute12"/>
                    <w:suppressAutoHyphens/>
                    <w:snapToGrid w:val="0"/>
                  </w:pPr>
                  <w:r>
                    <w:t>103-11</w:t>
                  </w:r>
                </w:p>
                <w:p w:rsidR="0097638D" w:rsidRDefault="0097638D" w:rsidP="00651643">
                  <w:pPr>
                    <w:pStyle w:val="ParaAttribute12"/>
                    <w:suppressAutoHyphens/>
                    <w:snapToGrid w:val="0"/>
                  </w:pPr>
                </w:p>
              </w:tc>
              <w:tc>
                <w:tcPr>
                  <w:tcW w:w="1276" w:type="dxa"/>
                </w:tcPr>
                <w:p w:rsidR="009B20BA" w:rsidRDefault="005857B0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lastRenderedPageBreak/>
                    <w:t>I</w:t>
                  </w:r>
                </w:p>
              </w:tc>
              <w:tc>
                <w:tcPr>
                  <w:tcW w:w="1559" w:type="dxa"/>
                </w:tcPr>
                <w:p w:rsidR="009B20BA" w:rsidRDefault="002938AF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t>2</w:t>
                  </w:r>
                  <w:r w:rsidR="00B6510F">
                    <w:rPr>
                      <w:rStyle w:val="FootnoteReference"/>
                    </w:rPr>
                    <w:t>nd</w:t>
                  </w:r>
                </w:p>
              </w:tc>
              <w:tc>
                <w:tcPr>
                  <w:tcW w:w="1961" w:type="dxa"/>
                </w:tcPr>
                <w:p w:rsidR="009B20BA" w:rsidRDefault="001C6AB2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3154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3154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3154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12615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</w:tr>
            <w:tr w:rsidR="00651643" w:rsidTr="005D04EA">
              <w:tc>
                <w:tcPr>
                  <w:tcW w:w="867" w:type="dxa"/>
                </w:tcPr>
                <w:p w:rsidR="00651643" w:rsidRDefault="00E6280B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rPr>
                      <w:noProof/>
                      <w:lang w:bidi="ta-IN"/>
                    </w:rPr>
                    <w:lastRenderedPageBreak/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left:0;text-align:left;margin-left:455.35pt;margin-top:8.25pt;width:36pt;height:30.75pt;z-index:251658240;mso-position-horizontal-relative:text;mso-position-vertical-relative:text">
                        <v:textbox style="mso-next-textbox:#_x0000_s1026">
                          <w:txbxContent>
                            <w:p w:rsidR="00E6280B" w:rsidRPr="00E6280B" w:rsidRDefault="00E6280B">
                              <w:pPr>
                                <w:rPr>
                                  <w:rFonts w:asciiTheme="minorHAnsi" w:hAnsiTheme="minorHAnsi"/>
                                  <w:lang w:val="en-IN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IN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842" w:type="dxa"/>
                </w:tcPr>
                <w:p w:rsidR="00651643" w:rsidRDefault="00651643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1985" w:type="dxa"/>
                </w:tcPr>
                <w:p w:rsidR="00651643" w:rsidRDefault="00651643" w:rsidP="00651643">
                  <w:pPr>
                    <w:pStyle w:val="ParaAttribute12"/>
                    <w:suppressAutoHyphens/>
                    <w:snapToGrid w:val="0"/>
                  </w:pPr>
                  <w:r>
                    <w:t>Journal of Research and Advancement in Dentistry</w:t>
                  </w:r>
                </w:p>
                <w:p w:rsidR="00651643" w:rsidRDefault="00651643" w:rsidP="00651643">
                  <w:pPr>
                    <w:pStyle w:val="ParaAttribute12"/>
                    <w:suppressAutoHyphens/>
                    <w:snapToGrid w:val="0"/>
                  </w:pPr>
                </w:p>
                <w:p w:rsidR="00651643" w:rsidRDefault="00651643" w:rsidP="00651643">
                  <w:pPr>
                    <w:pStyle w:val="ParaAttribute12"/>
                    <w:suppressAutoHyphens/>
                    <w:snapToGrid w:val="0"/>
                  </w:pPr>
                  <w:r>
                    <w:t>NKS.Aravind, PK.Chandra, SonaliRathore,Anirudh K Mathur</w:t>
                  </w:r>
                </w:p>
                <w:p w:rsidR="00651643" w:rsidRDefault="00651643" w:rsidP="00D7328C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</w:pPr>
                  <w:r>
                    <w:t>Establishment of Cephalometric norms for STCA in Goan population</w:t>
                  </w:r>
                </w:p>
                <w:p w:rsidR="00686D27" w:rsidRDefault="00686D27" w:rsidP="00686D27">
                  <w:pPr>
                    <w:pStyle w:val="ParaAttribute12"/>
                    <w:suppressAutoHyphens/>
                    <w:snapToGrid w:val="0"/>
                  </w:pPr>
                </w:p>
                <w:p w:rsidR="00686D27" w:rsidRDefault="00E40184" w:rsidP="00686D27">
                  <w:pPr>
                    <w:pStyle w:val="ParaAttribute12"/>
                    <w:suppressAutoHyphens/>
                    <w:snapToGrid w:val="0"/>
                  </w:pPr>
                  <w:r>
                    <w:t>J Res Adv Dent 2018</w:t>
                  </w:r>
                </w:p>
                <w:p w:rsidR="00274A64" w:rsidRDefault="00274A64" w:rsidP="00686D27">
                  <w:pPr>
                    <w:pStyle w:val="ParaAttribute12"/>
                    <w:suppressAutoHyphens/>
                    <w:snapToGrid w:val="0"/>
                  </w:pPr>
                  <w:r>
                    <w:t>113-119</w:t>
                  </w:r>
                </w:p>
              </w:tc>
              <w:tc>
                <w:tcPr>
                  <w:tcW w:w="1276" w:type="dxa"/>
                </w:tcPr>
                <w:p w:rsidR="00651643" w:rsidRDefault="005857B0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t>I</w:t>
                  </w:r>
                </w:p>
              </w:tc>
              <w:tc>
                <w:tcPr>
                  <w:tcW w:w="1559" w:type="dxa"/>
                </w:tcPr>
                <w:p w:rsidR="00651643" w:rsidRDefault="008265B4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t>2</w:t>
                  </w:r>
                  <w:r>
                    <w:rPr>
                      <w:rStyle w:val="FootnoteReference"/>
                    </w:rPr>
                    <w:t>nd</w:t>
                  </w:r>
                </w:p>
              </w:tc>
              <w:tc>
                <w:tcPr>
                  <w:tcW w:w="1961" w:type="dxa"/>
                </w:tcPr>
                <w:p w:rsidR="00651643" w:rsidRDefault="00863522" w:rsidP="00863522">
                  <w:pPr>
                    <w:pStyle w:val="ParaAttribute12"/>
                    <w:suppressAutoHyphens/>
                    <w:snapToGrid w:val="0"/>
                  </w:pPr>
                  <w:r>
                    <w:t xml:space="preserve">       2018</w:t>
                  </w:r>
                </w:p>
              </w:tc>
              <w:tc>
                <w:tcPr>
                  <w:tcW w:w="3154" w:type="dxa"/>
                </w:tcPr>
                <w:p w:rsidR="00651643" w:rsidRDefault="00651643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3154" w:type="dxa"/>
                </w:tcPr>
                <w:p w:rsidR="00651643" w:rsidRDefault="00651643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3154" w:type="dxa"/>
                </w:tcPr>
                <w:p w:rsidR="00651643" w:rsidRDefault="00651643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12615" w:type="dxa"/>
                </w:tcPr>
                <w:p w:rsidR="00651643" w:rsidRDefault="00651643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</w:tr>
            <w:tr w:rsidR="009B20BA" w:rsidTr="005D04EA">
              <w:tc>
                <w:tcPr>
                  <w:tcW w:w="867" w:type="dxa"/>
                </w:tcPr>
                <w:p w:rsidR="009B20BA" w:rsidRDefault="00E6280B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rPr>
                      <w:noProof/>
                      <w:lang w:bidi="ta-IN"/>
                    </w:rPr>
                    <w:pict>
                      <v:shape id="_x0000_s1028" type="#_x0000_t202" style="position:absolute;left:0;text-align:left;margin-left:452.35pt;margin-top:92.5pt;width:36pt;height:20.25pt;z-index:251660288;mso-position-horizontal-relative:text;mso-position-vertical-relative:text">
                        <v:textbox style="mso-next-textbox:#_x0000_s1028">
                          <w:txbxContent>
                            <w:p w:rsidR="00E6280B" w:rsidRPr="00E6280B" w:rsidRDefault="00E6280B" w:rsidP="00E6280B">
                              <w:pPr>
                                <w:rPr>
                                  <w:rFonts w:asciiTheme="minorHAnsi" w:hAnsiTheme="minorHAnsi"/>
                                  <w:lang w:val="en-IN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IN"/>
                                </w:rPr>
                                <w:t>45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noProof/>
                      <w:lang w:bidi="ta-IN"/>
                    </w:rPr>
                    <w:pict>
                      <v:shape id="_x0000_s1027" type="#_x0000_t202" style="position:absolute;left:0;text-align:left;margin-left:447.85pt;margin-top:13pt;width:36pt;height:30.75pt;z-index:251659264;mso-position-horizontal-relative:text;mso-position-vertical-relative:text">
                        <v:textbox style="mso-next-textbox:#_x0000_s1027">
                          <w:txbxContent>
                            <w:p w:rsidR="00E6280B" w:rsidRPr="00E6280B" w:rsidRDefault="00E6280B" w:rsidP="00E6280B">
                              <w:pPr>
                                <w:rPr>
                                  <w:rFonts w:asciiTheme="minorHAnsi" w:hAnsiTheme="minorHAnsi"/>
                                  <w:lang w:val="en-IN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lang w:val="en-IN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</w:pict>
                  </w:r>
                </w:p>
              </w:tc>
              <w:tc>
                <w:tcPr>
                  <w:tcW w:w="1842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1985" w:type="dxa"/>
                </w:tcPr>
                <w:p w:rsidR="009B20BA" w:rsidRDefault="005E6EF0" w:rsidP="00DE0034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</w:pPr>
                  <w:r>
                    <w:t>R</w:t>
                  </w:r>
                  <w:r w:rsidR="00310B38">
                    <w:t>evistaLatinoamericana</w:t>
                  </w:r>
                  <w:r w:rsidR="00D847CD">
                    <w:t>De OrtodonciaOdontopediatria</w:t>
                  </w:r>
                </w:p>
                <w:p w:rsidR="00DE0034" w:rsidRDefault="00DE0034" w:rsidP="00DE0034">
                  <w:pPr>
                    <w:pStyle w:val="ParaAttribute12"/>
                    <w:suppressAutoHyphens/>
                    <w:snapToGrid w:val="0"/>
                  </w:pPr>
                </w:p>
                <w:p w:rsidR="00DE0034" w:rsidRDefault="00DE0034" w:rsidP="00DE0034">
                  <w:pPr>
                    <w:pStyle w:val="ParaAttribute12"/>
                    <w:suppressAutoHyphens/>
                    <w:snapToGrid w:val="0"/>
                  </w:pPr>
                  <w:r>
                    <w:t>Dr.SonaliRathore</w:t>
                  </w:r>
                  <w:r w:rsidR="00F80216">
                    <w:t>, Dr. Tariq Ansari</w:t>
                  </w:r>
                </w:p>
                <w:p w:rsidR="00F80216" w:rsidRDefault="00F80216" w:rsidP="00DE0034">
                  <w:pPr>
                    <w:pStyle w:val="ParaAttribute12"/>
                    <w:suppressAutoHyphens/>
                    <w:snapToGrid w:val="0"/>
                  </w:pPr>
                </w:p>
                <w:p w:rsidR="00F80216" w:rsidRDefault="00F80216" w:rsidP="00DE0034">
                  <w:pPr>
                    <w:pStyle w:val="ParaAttribute12"/>
                    <w:suppressAutoHyphens/>
                    <w:snapToGrid w:val="0"/>
                  </w:pPr>
                </w:p>
              </w:tc>
              <w:tc>
                <w:tcPr>
                  <w:tcW w:w="1276" w:type="dxa"/>
                </w:tcPr>
                <w:p w:rsidR="009B20BA" w:rsidRDefault="005857B0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t>I</w:t>
                  </w:r>
                </w:p>
              </w:tc>
              <w:tc>
                <w:tcPr>
                  <w:tcW w:w="1559" w:type="dxa"/>
                </w:tcPr>
                <w:p w:rsidR="009B20BA" w:rsidRDefault="00387E87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t>1</w:t>
                  </w:r>
                  <w:r>
                    <w:rPr>
                      <w:rStyle w:val="FootnoteReference"/>
                    </w:rPr>
                    <w:t>st</w:t>
                  </w:r>
                </w:p>
              </w:tc>
              <w:tc>
                <w:tcPr>
                  <w:tcW w:w="1961" w:type="dxa"/>
                </w:tcPr>
                <w:p w:rsidR="009B20BA" w:rsidRDefault="00506420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3154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3154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3154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  <w:tc>
                <w:tcPr>
                  <w:tcW w:w="12615" w:type="dxa"/>
                </w:tcPr>
                <w:p w:rsidR="009B20BA" w:rsidRDefault="009B20BA" w:rsidP="00665D0A">
                  <w:pPr>
                    <w:pStyle w:val="ParaAttribute12"/>
                    <w:numPr>
                      <w:ilvl w:val="0"/>
                      <w:numId w:val="6"/>
                    </w:numPr>
                    <w:suppressAutoHyphens/>
                    <w:snapToGrid w:val="0"/>
                    <w:ind w:left="0" w:firstLine="0"/>
                    <w:jc w:val="center"/>
                  </w:pPr>
                </w:p>
              </w:tc>
            </w:tr>
          </w:tbl>
          <w:p w:rsidR="00180E54" w:rsidRPr="00AA4230" w:rsidRDefault="00E6280B" w:rsidP="00E6280B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right"/>
            </w:pPr>
            <w:r>
              <w:t>Total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80E54" w:rsidRPr="00AA4230" w:rsidRDefault="00506420" w:rsidP="000F13C2">
            <w:pPr>
              <w:pStyle w:val="ParaAttribute12"/>
              <w:suppressAutoHyphens/>
              <w:snapToGrid w:val="0"/>
              <w:ind w:left="432"/>
            </w:pPr>
            <w:r>
              <w:lastRenderedPageBreak/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 w:rsidRPr="00AA4230">
              <w:lastRenderedPageBreak/>
              <w:t>4</w:t>
            </w:r>
          </w:p>
        </w:tc>
        <w:tc>
          <w:tcPr>
            <w:tcW w:w="1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/>
                <w:b/>
                <w:bCs/>
              </w:rPr>
            </w:pPr>
            <w:r w:rsidRPr="00AA4230">
              <w:rPr>
                <w:rFonts w:ascii="Times New Roman"/>
                <w:b/>
                <w:bCs/>
              </w:rPr>
              <w:t>Dr.MPAngelinMegha,</w:t>
            </w:r>
            <w:r w:rsidRPr="00AA4230">
              <w:rPr>
                <w:rFonts w:ascii="Times New Roman" w:eastAsia="Times New Roman"/>
                <w:b/>
                <w:bCs/>
              </w:rPr>
              <w:t xml:space="preserve"> MDS., Senior Lecturer</w:t>
            </w: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 xml:space="preserve">International  Journal of Orthodontics 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AngelinMegha MP, Pradeep Tandon, Gyan Prakash Singh,DiptiShastri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 xml:space="preserve">Esthetic components and their impact on smile attractiveness 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IJO vol 28no4 winter 2017</w:t>
            </w: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1</w:t>
            </w:r>
            <w:r w:rsidRPr="00AA4230">
              <w:rPr>
                <w:rFonts w:ascii="Times New Roman"/>
                <w:vertAlign w:val="superscript"/>
              </w:rPr>
              <w:t>st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2017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pStyle w:val="ParaAttribute12"/>
              <w:numPr>
                <w:ilvl w:val="0"/>
                <w:numId w:val="6"/>
              </w:num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1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left"/>
              <w:rPr>
                <w:rFonts w:ascii="Times New Roman"/>
                <w:b/>
                <w:bCs/>
              </w:rPr>
            </w:pPr>
            <w:r>
              <w:rPr>
                <w:rFonts w:ascii="Times New Roman"/>
                <w:b/>
                <w:bCs/>
              </w:rPr>
              <w:t>DrSooryaDileep</w:t>
            </w:r>
          </w:p>
        </w:tc>
        <w:tc>
          <w:tcPr>
            <w:tcW w:w="20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Default="00665D0A" w:rsidP="00935F10">
            <w:pPr>
              <w:jc w:val="left"/>
            </w:pPr>
            <w:r>
              <w:t xml:space="preserve">Volume-5, Issue-8, August - 2016 </w:t>
            </w:r>
            <w:r>
              <w:t>•</w:t>
            </w:r>
            <w:r>
              <w:t xml:space="preserve"> ISSN No 2277 </w:t>
            </w:r>
            <w:r>
              <w:t>–</w:t>
            </w:r>
            <w:r>
              <w:t xml:space="preserve"> 8160</w:t>
            </w:r>
          </w:p>
          <w:p w:rsidR="00665D0A" w:rsidRDefault="00665D0A" w:rsidP="00935F10">
            <w:pPr>
              <w:jc w:val="left"/>
            </w:pPr>
            <w:r>
              <w:t>Medical Problems in Clinical Orthodontics</w:t>
            </w:r>
          </w:p>
          <w:p w:rsidR="00665D0A" w:rsidRDefault="00665D0A" w:rsidP="00935F10">
            <w:pPr>
              <w:jc w:val="left"/>
            </w:pPr>
            <w:r>
              <w:lastRenderedPageBreak/>
              <w:t>Global journal for research analysis.</w:t>
            </w:r>
          </w:p>
          <w:p w:rsidR="00665D0A" w:rsidRDefault="00665D0A" w:rsidP="00935F10">
            <w:pPr>
              <w:jc w:val="left"/>
            </w:pPr>
          </w:p>
          <w:p w:rsidR="00665D0A" w:rsidRDefault="00665D0A" w:rsidP="00665D0A">
            <w:pPr>
              <w:jc w:val="left"/>
            </w:pPr>
            <w:r>
              <w:t xml:space="preserve">Volume-5, Issue-8, August - 2016 </w:t>
            </w:r>
            <w:r>
              <w:t>•</w:t>
            </w:r>
            <w:r>
              <w:t xml:space="preserve"> ISSN No 2277 </w:t>
            </w:r>
            <w:r>
              <w:t>–</w:t>
            </w:r>
            <w:r>
              <w:t xml:space="preserve"> 8160 Miniscrews in Orthodontics- Review Global journal for research analysis.</w:t>
            </w:r>
          </w:p>
          <w:p w:rsidR="00665D0A" w:rsidRPr="00AA4230" w:rsidRDefault="00665D0A" w:rsidP="00935F10">
            <w:pPr>
              <w:jc w:val="left"/>
              <w:rPr>
                <w:rFonts w:ascii="Times New Roman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</w:p>
        </w:tc>
      </w:tr>
      <w:tr w:rsidR="00665D0A" w:rsidRPr="00AA4230" w:rsidTr="00935F10">
        <w:trPr>
          <w:trHeight w:val="360"/>
        </w:trPr>
        <w:tc>
          <w:tcPr>
            <w:tcW w:w="9073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lastRenderedPageBreak/>
              <w:t>Total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  <w:r w:rsidRPr="00AA4230">
              <w:rPr>
                <w:rFonts w:ascii="Times New Roman"/>
              </w:rPr>
              <w:t>15</w:t>
            </w:r>
          </w:p>
          <w:p w:rsidR="00665D0A" w:rsidRPr="00AA4230" w:rsidRDefault="00665D0A" w:rsidP="00935F10">
            <w:pPr>
              <w:jc w:val="center"/>
              <w:rPr>
                <w:rFonts w:ascii="Times New Roman"/>
              </w:rPr>
            </w:pPr>
          </w:p>
        </w:tc>
      </w:tr>
      <w:tr w:rsidR="00665D0A" w:rsidRPr="00AA4230" w:rsidTr="00935F10">
        <w:trPr>
          <w:trHeight w:val="360"/>
        </w:trPr>
        <w:tc>
          <w:tcPr>
            <w:tcW w:w="81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665D0A" w:rsidRPr="00AA4230" w:rsidRDefault="00665D0A" w:rsidP="00665D0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/>
                <w:kern w:val="0"/>
                <w:lang w:eastAsia="en-US"/>
              </w:rPr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000080"/>
            </w:tcBorders>
            <w:shd w:val="clear" w:color="auto" w:fill="FFFFFF"/>
            <w:vAlign w:val="center"/>
          </w:tcPr>
          <w:p w:rsidR="00665D0A" w:rsidRPr="00AA4230" w:rsidRDefault="00665D0A" w:rsidP="00935F10">
            <w:pPr>
              <w:keepNext/>
              <w:widowControl/>
              <w:suppressAutoHyphens/>
              <w:wordWrap/>
              <w:autoSpaceDE/>
              <w:autoSpaceDN/>
              <w:snapToGrid w:val="0"/>
              <w:jc w:val="left"/>
              <w:outlineLvl w:val="1"/>
              <w:rPr>
                <w:rFonts w:ascii="Times New Roman" w:eastAsia="Calibri"/>
                <w:kern w:val="0"/>
              </w:rPr>
            </w:pPr>
            <w:r w:rsidRPr="00AA4230">
              <w:rPr>
                <w:rFonts w:ascii="Times New Roman"/>
                <w:b/>
                <w:bCs/>
              </w:rPr>
              <w:t xml:space="preserve">DrLeyonaPushpaFemina.I,M.D.S., </w:t>
            </w:r>
          </w:p>
          <w:p w:rsidR="00665D0A" w:rsidRPr="00AA4230" w:rsidRDefault="00665D0A" w:rsidP="00935F10">
            <w:pPr>
              <w:keepNext/>
              <w:widowControl/>
              <w:suppressAutoHyphens/>
              <w:wordWrap/>
              <w:autoSpaceDE/>
              <w:autoSpaceDN/>
              <w:snapToGrid w:val="0"/>
              <w:jc w:val="left"/>
              <w:outlineLvl w:val="1"/>
              <w:rPr>
                <w:rFonts w:ascii="Times New Roman" w:eastAsia="Calibri"/>
                <w:kern w:val="0"/>
                <w:sz w:val="16"/>
                <w:szCs w:val="16"/>
              </w:rPr>
            </w:pPr>
            <w:r w:rsidRPr="00AA4230">
              <w:rPr>
                <w:rFonts w:ascii="Times New Roman" w:eastAsia="Times New Roman"/>
                <w:b/>
                <w:bCs/>
              </w:rPr>
              <w:t>SeniorLecturer</w:t>
            </w:r>
          </w:p>
        </w:tc>
        <w:tc>
          <w:tcPr>
            <w:tcW w:w="22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935F10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 w:eastAsia="Times New Roman"/>
                <w:bCs/>
              </w:rPr>
            </w:pPr>
            <w:r w:rsidRPr="00AA4230">
              <w:rPr>
                <w:rFonts w:ascii="Times New Roman" w:eastAsia="Times New Roman"/>
                <w:bCs/>
              </w:rPr>
              <w:t>Journal of Indian Orthodontic Society</w:t>
            </w:r>
          </w:p>
          <w:p w:rsidR="00665D0A" w:rsidRPr="00AA4230" w:rsidRDefault="00665D0A" w:rsidP="00935F10">
            <w:pPr>
              <w:pStyle w:val="ListParagraph"/>
              <w:ind w:left="0"/>
              <w:jc w:val="left"/>
              <w:rPr>
                <w:rFonts w:ascii="Times New Roman" w:eastAsia="Times New Roman"/>
                <w:bCs/>
              </w:rPr>
            </w:pPr>
          </w:p>
          <w:p w:rsidR="00665D0A" w:rsidRPr="00AA4230" w:rsidRDefault="00665D0A" w:rsidP="00935F10">
            <w:pPr>
              <w:pStyle w:val="ListParagraph"/>
              <w:ind w:left="0"/>
              <w:jc w:val="left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/>
                <w:bCs/>
              </w:rPr>
              <w:t>LeyonaPushpaFemina.I, Chandrashekar B.S, Arun A.V, Aravind S Raju, Ramesh Kumar P.C,  Balamohan Shetty</w:t>
            </w:r>
          </w:p>
          <w:p w:rsidR="00665D0A" w:rsidRPr="00AA4230" w:rsidRDefault="00665D0A" w:rsidP="00935F10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/>
                <w:kern w:val="0"/>
                <w:lang w:eastAsia="en-US"/>
              </w:rPr>
            </w:pPr>
          </w:p>
          <w:p w:rsidR="00665D0A" w:rsidRPr="00AA4230" w:rsidRDefault="00665D0A" w:rsidP="00935F10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 w:eastAsia="Times New Roman"/>
                <w:bCs/>
              </w:rPr>
              <w:t>Effects of carbonated drinks on mechanical properties of thermoplastic aligner materials: an invitro study</w:t>
            </w:r>
          </w:p>
          <w:p w:rsidR="00665D0A" w:rsidRPr="00AA4230" w:rsidRDefault="00665D0A" w:rsidP="00935F10">
            <w:pPr>
              <w:pStyle w:val="ListParagraph"/>
              <w:ind w:left="0"/>
              <w:jc w:val="left"/>
              <w:rPr>
                <w:rFonts w:ascii="Times New Roman"/>
                <w:kern w:val="0"/>
                <w:lang w:eastAsia="en-US"/>
              </w:rPr>
            </w:pPr>
          </w:p>
          <w:p w:rsidR="00665D0A" w:rsidRPr="00AA4230" w:rsidRDefault="00665D0A" w:rsidP="00935F10">
            <w:pPr>
              <w:widowControl/>
              <w:suppressAutoHyphens/>
              <w:wordWrap/>
              <w:autoSpaceDE/>
              <w:autoSpaceDN/>
              <w:snapToGrid w:val="0"/>
              <w:jc w:val="left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 w:eastAsia="Times New Roman"/>
                <w:bCs/>
              </w:rPr>
              <w:t>J Ind Ortho Soc.2020;54(2):115-20</w:t>
            </w:r>
          </w:p>
        </w:tc>
        <w:tc>
          <w:tcPr>
            <w:tcW w:w="9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/>
                <w:kern w:val="0"/>
                <w:lang w:eastAsia="en-US"/>
              </w:rPr>
              <w:t>I</w:t>
            </w:r>
          </w:p>
        </w:tc>
        <w:tc>
          <w:tcPr>
            <w:tcW w:w="15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/>
              </w:rPr>
              <w:t>1</w:t>
            </w:r>
            <w:r w:rsidRPr="00AA4230">
              <w:rPr>
                <w:rFonts w:ascii="Times New Roman"/>
                <w:vertAlign w:val="superscript"/>
              </w:rPr>
              <w:t>st</w:t>
            </w:r>
          </w:p>
        </w:tc>
        <w:tc>
          <w:tcPr>
            <w:tcW w:w="1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/>
                <w:kern w:val="0"/>
                <w:lang w:eastAsia="en-US"/>
              </w:rPr>
              <w:t>2019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/>
                <w:kern w:val="0"/>
                <w:lang w:eastAsia="en-US"/>
              </w:rPr>
              <w:t>15</w:t>
            </w:r>
          </w:p>
        </w:tc>
      </w:tr>
      <w:tr w:rsidR="00665D0A" w:rsidRPr="00AA4230" w:rsidTr="00935F10">
        <w:trPr>
          <w:trHeight w:val="360"/>
        </w:trPr>
        <w:tc>
          <w:tcPr>
            <w:tcW w:w="9073" w:type="dxa"/>
            <w:gridSpan w:val="7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/>
                <w:kern w:val="0"/>
                <w:lang w:eastAsia="en-US"/>
              </w:rPr>
              <w:t>Total</w:t>
            </w:r>
          </w:p>
        </w:tc>
        <w:tc>
          <w:tcPr>
            <w:tcW w:w="9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65D0A" w:rsidRPr="00AA4230" w:rsidRDefault="00665D0A" w:rsidP="00665D0A">
            <w:pPr>
              <w:widowControl/>
              <w:numPr>
                <w:ilvl w:val="0"/>
                <w:numId w:val="6"/>
              </w:numPr>
              <w:suppressAutoHyphens/>
              <w:wordWrap/>
              <w:autoSpaceDE/>
              <w:autoSpaceDN/>
              <w:snapToGrid w:val="0"/>
              <w:jc w:val="center"/>
              <w:rPr>
                <w:rFonts w:ascii="Times New Roman"/>
                <w:kern w:val="0"/>
                <w:lang w:eastAsia="en-US"/>
              </w:rPr>
            </w:pPr>
            <w:r w:rsidRPr="00AA4230">
              <w:rPr>
                <w:rFonts w:ascii="Times New Roman"/>
                <w:kern w:val="0"/>
                <w:lang w:eastAsia="en-US"/>
              </w:rPr>
              <w:t>15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2"/>
        <w:tblW w:w="9747" w:type="dxa"/>
        <w:tblLook w:val="04A0"/>
      </w:tblPr>
      <w:tblGrid>
        <w:gridCol w:w="484"/>
        <w:gridCol w:w="1903"/>
        <w:gridCol w:w="2629"/>
        <w:gridCol w:w="1823"/>
        <w:gridCol w:w="906"/>
        <w:gridCol w:w="974"/>
        <w:gridCol w:w="1028"/>
      </w:tblGrid>
      <w:tr w:rsidR="00BB20BB" w:rsidTr="00012CD0">
        <w:trPr>
          <w:trHeight w:val="2658"/>
        </w:trPr>
        <w:tc>
          <w:tcPr>
            <w:tcW w:w="518" w:type="dxa"/>
          </w:tcPr>
          <w:p w:rsidR="00BB20BB" w:rsidRDefault="0041150B" w:rsidP="006914F5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88" w:type="dxa"/>
          </w:tcPr>
          <w:p w:rsidR="00BB20BB" w:rsidRDefault="0041150B" w:rsidP="006914F5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</w:t>
            </w:r>
            <w:r w:rsidR="00E51684">
              <w:rPr>
                <w:sz w:val="24"/>
                <w:szCs w:val="24"/>
              </w:rPr>
              <w:t>SonaliRathore</w:t>
            </w:r>
          </w:p>
        </w:tc>
        <w:tc>
          <w:tcPr>
            <w:tcW w:w="1890" w:type="dxa"/>
          </w:tcPr>
          <w:p w:rsidR="00BB20BB" w:rsidRDefault="00BD7954" w:rsidP="006914F5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Revista</w:t>
            </w:r>
            <w:r w:rsidR="00A23478">
              <w:rPr>
                <w:sz w:val="24"/>
                <w:szCs w:val="24"/>
              </w:rPr>
              <w:t>latioamericana</w:t>
            </w:r>
            <w:r w:rsidR="009C074D">
              <w:rPr>
                <w:sz w:val="24"/>
                <w:szCs w:val="24"/>
              </w:rPr>
              <w:t>De  Ortodon</w:t>
            </w:r>
            <w:r w:rsidR="00C44DCC">
              <w:rPr>
                <w:sz w:val="24"/>
                <w:szCs w:val="24"/>
              </w:rPr>
              <w:t>cia Y Odontop</w:t>
            </w:r>
            <w:r w:rsidR="0054361D">
              <w:rPr>
                <w:sz w:val="24"/>
                <w:szCs w:val="24"/>
              </w:rPr>
              <w:t>ediatria</w:t>
            </w:r>
          </w:p>
        </w:tc>
        <w:tc>
          <w:tcPr>
            <w:tcW w:w="2428" w:type="dxa"/>
          </w:tcPr>
          <w:p w:rsidR="00BB20BB" w:rsidRDefault="00325E76" w:rsidP="006914F5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1084" w:type="dxa"/>
          </w:tcPr>
          <w:p w:rsidR="00BB20BB" w:rsidRDefault="00325E76" w:rsidP="006914F5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</w:t>
            </w:r>
          </w:p>
        </w:tc>
        <w:tc>
          <w:tcPr>
            <w:tcW w:w="1084" w:type="dxa"/>
          </w:tcPr>
          <w:p w:rsidR="00BB20BB" w:rsidRDefault="00325E76" w:rsidP="006914F5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55" w:type="dxa"/>
          </w:tcPr>
          <w:p w:rsidR="00BB20BB" w:rsidRDefault="000C380B" w:rsidP="006914F5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B20BB" w:rsidTr="00012CD0">
        <w:trPr>
          <w:trHeight w:val="2658"/>
        </w:trPr>
        <w:tc>
          <w:tcPr>
            <w:tcW w:w="518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B20BB" w:rsidRDefault="00881D14" w:rsidP="006914F5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D4D36">
              <w:rPr>
                <w:sz w:val="24"/>
                <w:szCs w:val="24"/>
              </w:rPr>
              <w:t>Churro Jumper:</w:t>
            </w:r>
            <w:r w:rsidR="00CD1B8B">
              <w:rPr>
                <w:sz w:val="24"/>
                <w:szCs w:val="24"/>
              </w:rPr>
              <w:t xml:space="preserve">A reliable substitute for Mid Course </w:t>
            </w:r>
            <w:r w:rsidR="00BD5C35">
              <w:rPr>
                <w:sz w:val="24"/>
                <w:szCs w:val="24"/>
              </w:rPr>
              <w:t>correction during fixed functional therapy</w:t>
            </w:r>
            <w:r w:rsidR="00792C1C">
              <w:rPr>
                <w:sz w:val="24"/>
                <w:szCs w:val="24"/>
              </w:rPr>
              <w:t>- a case report</w:t>
            </w:r>
          </w:p>
          <w:p w:rsidR="00D512FB" w:rsidRDefault="00D512F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</w:tr>
      <w:tr w:rsidR="00BB20BB" w:rsidTr="00012CD0">
        <w:trPr>
          <w:trHeight w:val="2658"/>
        </w:trPr>
        <w:tc>
          <w:tcPr>
            <w:tcW w:w="518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488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BB20BB" w:rsidRDefault="00D512FB" w:rsidP="006914F5">
            <w:pPr>
              <w:pStyle w:val="ParaAttribut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Comparison</w:t>
            </w:r>
            <w:r w:rsidR="00C30D87">
              <w:rPr>
                <w:sz w:val="24"/>
                <w:szCs w:val="24"/>
              </w:rPr>
              <w:t xml:space="preserve"> of goans</w:t>
            </w:r>
          </w:p>
        </w:tc>
        <w:tc>
          <w:tcPr>
            <w:tcW w:w="2428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084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BB20BB" w:rsidRDefault="00BB20BB" w:rsidP="006914F5">
            <w:pPr>
              <w:pStyle w:val="ParaAttribute10"/>
              <w:rPr>
                <w:sz w:val="24"/>
                <w:szCs w:val="24"/>
              </w:rPr>
            </w:pPr>
          </w:p>
        </w:tc>
      </w:tr>
    </w:tbl>
    <w:p w:rsidR="00665D0A" w:rsidRDefault="00665D0A" w:rsidP="00665D0A">
      <w:pPr>
        <w:pStyle w:val="ParaAttribute10"/>
        <w:spacing w:after="0"/>
        <w:ind w:left="720" w:hanging="720"/>
        <w:rPr>
          <w:sz w:val="24"/>
          <w:szCs w:val="24"/>
        </w:rPr>
      </w:pPr>
    </w:p>
    <w:p w:rsidR="006914F5" w:rsidRPr="00AA4230" w:rsidRDefault="006914F5" w:rsidP="00665D0A">
      <w:pPr>
        <w:pStyle w:val="ParaAttribute10"/>
        <w:spacing w:after="0"/>
        <w:ind w:left="720" w:hanging="720"/>
        <w:rPr>
          <w:sz w:val="24"/>
          <w:szCs w:val="24"/>
        </w:rPr>
      </w:pPr>
    </w:p>
    <w:sectPr w:rsidR="006914F5" w:rsidRPr="00AA4230" w:rsidSect="0016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FF" w:rsidRDefault="00173BFF" w:rsidP="00017245">
      <w:r>
        <w:separator/>
      </w:r>
    </w:p>
  </w:endnote>
  <w:endnote w:type="continuationSeparator" w:id="1">
    <w:p w:rsidR="00173BFF" w:rsidRDefault="00173BFF" w:rsidP="0001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FF" w:rsidRDefault="00173BFF" w:rsidP="00017245">
      <w:r>
        <w:separator/>
      </w:r>
    </w:p>
  </w:footnote>
  <w:footnote w:type="continuationSeparator" w:id="1">
    <w:p w:rsidR="00173BFF" w:rsidRDefault="00173BFF" w:rsidP="00017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multilevel"/>
    <w:tmpl w:val="0000000A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CA65CB"/>
    <w:multiLevelType w:val="hybridMultilevel"/>
    <w:tmpl w:val="DEC23D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5E99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27C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34F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E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E8C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A2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213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A8B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E278DB"/>
    <w:multiLevelType w:val="hybridMultilevel"/>
    <w:tmpl w:val="DEEE1110"/>
    <w:lvl w:ilvl="0" w:tplc="3EA81346">
      <w:start w:val="1"/>
      <w:numFmt w:val="decimal"/>
      <w:lvlText w:val="(%1)"/>
      <w:lvlJc w:val="left"/>
      <w:pPr>
        <w:ind w:left="39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1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5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7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9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1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3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51" w:hanging="180"/>
      </w:pPr>
      <w:rPr>
        <w:rFonts w:cs="Times New Roman"/>
      </w:rPr>
    </w:lvl>
  </w:abstractNum>
  <w:abstractNum w:abstractNumId="4">
    <w:nsid w:val="6E0E6FAB"/>
    <w:multiLevelType w:val="hybridMultilevel"/>
    <w:tmpl w:val="F474AAB0"/>
    <w:lvl w:ilvl="0" w:tplc="B13242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26A1D61"/>
    <w:multiLevelType w:val="hybridMultilevel"/>
    <w:tmpl w:val="584263E8"/>
    <w:lvl w:ilvl="0" w:tplc="AF40A3C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29DADA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D0A"/>
    <w:rsid w:val="00012CD0"/>
    <w:rsid w:val="00017245"/>
    <w:rsid w:val="00017A66"/>
    <w:rsid w:val="00030039"/>
    <w:rsid w:val="00030F28"/>
    <w:rsid w:val="0007385B"/>
    <w:rsid w:val="0008620F"/>
    <w:rsid w:val="000C380B"/>
    <w:rsid w:val="000F13C2"/>
    <w:rsid w:val="000F5D5D"/>
    <w:rsid w:val="000F638A"/>
    <w:rsid w:val="000F75BF"/>
    <w:rsid w:val="0010692E"/>
    <w:rsid w:val="001272C2"/>
    <w:rsid w:val="00161A03"/>
    <w:rsid w:val="00173BFF"/>
    <w:rsid w:val="00180E54"/>
    <w:rsid w:val="001977AD"/>
    <w:rsid w:val="001A05D9"/>
    <w:rsid w:val="001B2511"/>
    <w:rsid w:val="001C6AB2"/>
    <w:rsid w:val="001E12E3"/>
    <w:rsid w:val="001F147C"/>
    <w:rsid w:val="001F3B31"/>
    <w:rsid w:val="0022317A"/>
    <w:rsid w:val="002251CC"/>
    <w:rsid w:val="00274A64"/>
    <w:rsid w:val="002938AF"/>
    <w:rsid w:val="0029660D"/>
    <w:rsid w:val="002A1737"/>
    <w:rsid w:val="002C02FC"/>
    <w:rsid w:val="002F7664"/>
    <w:rsid w:val="003034DD"/>
    <w:rsid w:val="00310B38"/>
    <w:rsid w:val="00313595"/>
    <w:rsid w:val="003149DE"/>
    <w:rsid w:val="00325E76"/>
    <w:rsid w:val="003425ED"/>
    <w:rsid w:val="003466F1"/>
    <w:rsid w:val="00347503"/>
    <w:rsid w:val="00375047"/>
    <w:rsid w:val="00387E87"/>
    <w:rsid w:val="003A36CA"/>
    <w:rsid w:val="003C155A"/>
    <w:rsid w:val="003E26AC"/>
    <w:rsid w:val="00404B61"/>
    <w:rsid w:val="0041150B"/>
    <w:rsid w:val="00417002"/>
    <w:rsid w:val="0047002B"/>
    <w:rsid w:val="004711EC"/>
    <w:rsid w:val="00474F09"/>
    <w:rsid w:val="00477EB9"/>
    <w:rsid w:val="004823F4"/>
    <w:rsid w:val="00506420"/>
    <w:rsid w:val="0054361D"/>
    <w:rsid w:val="00555810"/>
    <w:rsid w:val="00580880"/>
    <w:rsid w:val="005857B0"/>
    <w:rsid w:val="00592456"/>
    <w:rsid w:val="005B0632"/>
    <w:rsid w:val="005C06A0"/>
    <w:rsid w:val="005C1E67"/>
    <w:rsid w:val="005D04EA"/>
    <w:rsid w:val="005E6EF0"/>
    <w:rsid w:val="005E7627"/>
    <w:rsid w:val="005F5D8E"/>
    <w:rsid w:val="00651643"/>
    <w:rsid w:val="00665D0A"/>
    <w:rsid w:val="00686D27"/>
    <w:rsid w:val="006914F5"/>
    <w:rsid w:val="00695F5F"/>
    <w:rsid w:val="006D0C59"/>
    <w:rsid w:val="006F618E"/>
    <w:rsid w:val="00710D64"/>
    <w:rsid w:val="00711230"/>
    <w:rsid w:val="007362EA"/>
    <w:rsid w:val="0074157C"/>
    <w:rsid w:val="00743310"/>
    <w:rsid w:val="00761B64"/>
    <w:rsid w:val="00792C1C"/>
    <w:rsid w:val="007A38B8"/>
    <w:rsid w:val="007C59D4"/>
    <w:rsid w:val="007F4CF9"/>
    <w:rsid w:val="00801283"/>
    <w:rsid w:val="008265B4"/>
    <w:rsid w:val="008317ED"/>
    <w:rsid w:val="00843AE0"/>
    <w:rsid w:val="00863522"/>
    <w:rsid w:val="00881D14"/>
    <w:rsid w:val="008A4EF4"/>
    <w:rsid w:val="00902F73"/>
    <w:rsid w:val="009153DE"/>
    <w:rsid w:val="00931F1D"/>
    <w:rsid w:val="00967999"/>
    <w:rsid w:val="00971988"/>
    <w:rsid w:val="0097638D"/>
    <w:rsid w:val="0098534F"/>
    <w:rsid w:val="009B20BA"/>
    <w:rsid w:val="009B6E14"/>
    <w:rsid w:val="009C074D"/>
    <w:rsid w:val="009E5263"/>
    <w:rsid w:val="00A23478"/>
    <w:rsid w:val="00A46185"/>
    <w:rsid w:val="00B6510F"/>
    <w:rsid w:val="00B83FA1"/>
    <w:rsid w:val="00B91BA9"/>
    <w:rsid w:val="00BB20BB"/>
    <w:rsid w:val="00BD5678"/>
    <w:rsid w:val="00BD5C35"/>
    <w:rsid w:val="00BD7954"/>
    <w:rsid w:val="00BD7DEF"/>
    <w:rsid w:val="00BE421E"/>
    <w:rsid w:val="00C06378"/>
    <w:rsid w:val="00C30D87"/>
    <w:rsid w:val="00C44DCC"/>
    <w:rsid w:val="00C6198A"/>
    <w:rsid w:val="00C636DA"/>
    <w:rsid w:val="00C834D5"/>
    <w:rsid w:val="00C83A38"/>
    <w:rsid w:val="00CB1F40"/>
    <w:rsid w:val="00CB4075"/>
    <w:rsid w:val="00CC120F"/>
    <w:rsid w:val="00CD1B8B"/>
    <w:rsid w:val="00D00FBD"/>
    <w:rsid w:val="00D10708"/>
    <w:rsid w:val="00D325BE"/>
    <w:rsid w:val="00D4584F"/>
    <w:rsid w:val="00D512FB"/>
    <w:rsid w:val="00D56E11"/>
    <w:rsid w:val="00D7328C"/>
    <w:rsid w:val="00D847CD"/>
    <w:rsid w:val="00D86EA4"/>
    <w:rsid w:val="00DD4D36"/>
    <w:rsid w:val="00DD5BBD"/>
    <w:rsid w:val="00DE0034"/>
    <w:rsid w:val="00E2783A"/>
    <w:rsid w:val="00E40184"/>
    <w:rsid w:val="00E51684"/>
    <w:rsid w:val="00E6280B"/>
    <w:rsid w:val="00EF6D94"/>
    <w:rsid w:val="00F54EA0"/>
    <w:rsid w:val="00F62C73"/>
    <w:rsid w:val="00F80216"/>
    <w:rsid w:val="00FB153B"/>
    <w:rsid w:val="00FB3373"/>
    <w:rsid w:val="00FB4865"/>
    <w:rsid w:val="00FE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0A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665D0A"/>
    <w:pPr>
      <w:keepNext/>
      <w:widowControl/>
      <w:wordWrap/>
      <w:autoSpaceDE/>
      <w:autoSpaceDN/>
      <w:jc w:val="left"/>
      <w:outlineLvl w:val="1"/>
    </w:pPr>
    <w:rPr>
      <w:rFonts w:ascii="Times New Roman" w:eastAsia="Calibri"/>
      <w:kern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5D0A"/>
    <w:rPr>
      <w:rFonts w:ascii="Times New Roman" w:eastAsia="Calibri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65D0A"/>
    <w:pPr>
      <w:ind w:left="400"/>
    </w:pPr>
  </w:style>
  <w:style w:type="paragraph" w:customStyle="1" w:styleId="ParaAttribute10">
    <w:name w:val="ParaAttribute10"/>
    <w:qFormat/>
    <w:rsid w:val="00665D0A"/>
    <w:pPr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665D0A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8">
    <w:name w:val="ParaAttribute28"/>
    <w:rsid w:val="00665D0A"/>
    <w:pPr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9">
    <w:name w:val="ParaAttribute39"/>
    <w:rsid w:val="00665D0A"/>
    <w:pPr>
      <w:spacing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665D0A"/>
    <w:rPr>
      <w:rFonts w:ascii="Arial" w:eastAsia="Times New Roman"/>
      <w:sz w:val="24"/>
    </w:rPr>
  </w:style>
  <w:style w:type="character" w:customStyle="1" w:styleId="CharAttribute13">
    <w:name w:val="CharAttribute13"/>
    <w:rsid w:val="00665D0A"/>
    <w:rPr>
      <w:rFonts w:ascii="Arial" w:eastAsia="Times New Roman"/>
      <w:sz w:val="24"/>
      <w:vertAlign w:val="superscript"/>
    </w:rPr>
  </w:style>
  <w:style w:type="character" w:styleId="Hyperlink">
    <w:name w:val="Hyperlink"/>
    <w:rsid w:val="00665D0A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69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72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245"/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0172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3</cp:revision>
  <dcterms:created xsi:type="dcterms:W3CDTF">2021-02-18T05:24:00Z</dcterms:created>
  <dcterms:modified xsi:type="dcterms:W3CDTF">2021-02-18T05:34:00Z</dcterms:modified>
</cp:coreProperties>
</file>